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B80A38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</w:t>
      </w:r>
      <w:r w:rsidR="00A27EA5">
        <w:rPr>
          <w:rFonts w:ascii="Times New Roman" w:hAnsi="Times New Roman"/>
          <w:sz w:val="24"/>
          <w:szCs w:val="24"/>
          <w:u w:val="single"/>
        </w:rPr>
        <w:t>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A27EA5">
        <w:rPr>
          <w:b/>
        </w:rPr>
        <w:t>Приобретение Быстроразъёмных соединений и фитингов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A27EA5" w:rsidRDefault="00A27EA5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7EA5">
              <w:rPr>
                <w:rFonts w:ascii="Times New Roman" w:hAnsi="Times New Roman"/>
                <w:b/>
                <w:sz w:val="24"/>
                <w:szCs w:val="24"/>
              </w:rPr>
              <w:t>Быстроразъёмные соединения и фитинги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 2024-2025</w:t>
      </w:r>
      <w:r w:rsidR="00F165A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5A9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>г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D00CA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D00CA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B8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7EA5">
              <w:rPr>
                <w:rFonts w:ascii="Times New Roman" w:hAnsi="Times New Roman"/>
                <w:sz w:val="24"/>
                <w:szCs w:val="24"/>
              </w:rPr>
              <w:t>09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B266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7EA5">
              <w:rPr>
                <w:rFonts w:ascii="Times New Roman" w:hAnsi="Times New Roman"/>
                <w:sz w:val="24"/>
                <w:szCs w:val="24"/>
              </w:rPr>
              <w:t>18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664B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</w:t>
      </w:r>
      <w:proofErr w:type="gramStart"/>
      <w:r>
        <w:t>Положении</w:t>
      </w:r>
      <w:proofErr w:type="gramEnd"/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B80A38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B80A38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B80A38" w:rsidRDefault="00B80A38" w:rsidP="005A7D5B">
      <w:pPr>
        <w:pStyle w:val="Default"/>
        <w:ind w:firstLine="360"/>
        <w:jc w:val="both"/>
      </w:pPr>
      <w:r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A27EA5" w:rsidP="00960E8F">
      <w:pPr>
        <w:pStyle w:val="Default"/>
        <w:ind w:firstLine="360"/>
      </w:pPr>
      <w:r>
        <w:t>Алексей Сергеевич Деревсков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A27EA5" w:rsidP="00A27EA5">
      <w:pPr>
        <w:pStyle w:val="Default"/>
        <w:ind w:firstLine="360"/>
        <w:jc w:val="both"/>
      </w:pPr>
      <w:r>
        <w:t>8 (3466) 49-10-30 (14</w:t>
      </w:r>
      <w:r>
        <w:t>57</w:t>
      </w:r>
      <w:r w:rsidRPr="00E869A7">
        <w:t>)</w:t>
      </w:r>
      <w:r>
        <w:t xml:space="preserve"> раб.</w:t>
      </w:r>
    </w:p>
    <w:p w:rsidR="005613B1" w:rsidRDefault="00B2664B" w:rsidP="005613B1">
      <w:pPr>
        <w:pStyle w:val="Default"/>
        <w:ind w:firstLine="360"/>
        <w:jc w:val="both"/>
      </w:pPr>
      <w:r>
        <w:t>8</w:t>
      </w:r>
      <w:r w:rsidR="00A27EA5">
        <w:t>-922-781-80-48</w:t>
      </w:r>
      <w:bookmarkStart w:id="0" w:name="_GoBack"/>
      <w:bookmarkEnd w:id="0"/>
      <w:r w:rsidR="000D0D9F">
        <w:t xml:space="preserve"> </w:t>
      </w:r>
      <w:r w:rsidR="004D4EDB">
        <w:t>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CA1" w:rsidRDefault="00D00CA1" w:rsidP="009B09DD">
      <w:pPr>
        <w:spacing w:after="0" w:line="240" w:lineRule="auto"/>
      </w:pPr>
      <w:r>
        <w:separator/>
      </w:r>
    </w:p>
  </w:endnote>
  <w:endnote w:type="continuationSeparator" w:id="0">
    <w:p w:rsidR="00D00CA1" w:rsidRDefault="00D00CA1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CA1" w:rsidRDefault="00D00CA1" w:rsidP="009B09DD">
      <w:pPr>
        <w:spacing w:after="0" w:line="240" w:lineRule="auto"/>
      </w:pPr>
      <w:r>
        <w:separator/>
      </w:r>
    </w:p>
  </w:footnote>
  <w:footnote w:type="continuationSeparator" w:id="0">
    <w:p w:rsidR="00D00CA1" w:rsidRDefault="00D00CA1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0AF1D-350C-413C-AA4B-1BC3C5B72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16690</TotalTime>
  <Pages>1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4206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391</cp:revision>
  <cp:lastPrinted>2022-10-12T09:43:00Z</cp:lastPrinted>
  <dcterms:created xsi:type="dcterms:W3CDTF">2019-03-01T10:00:00Z</dcterms:created>
  <dcterms:modified xsi:type="dcterms:W3CDTF">2024-09-09T06:31:00Z</dcterms:modified>
</cp:coreProperties>
</file>